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5"/>
        <w:gridCol w:w="3160"/>
        <w:gridCol w:w="4293"/>
        <w:gridCol w:w="733"/>
      </w:tblGrid>
      <w:tr w:rsidR="008E65F0" w:rsidTr="008E65F0">
        <w:trPr>
          <w:trHeight w:val="992"/>
        </w:trPr>
        <w:tc>
          <w:tcPr>
            <w:tcW w:w="9781" w:type="dxa"/>
            <w:gridSpan w:val="4"/>
          </w:tcPr>
          <w:p w:rsidR="008E65F0" w:rsidRDefault="00FD6109" w:rsidP="00BA7BE8">
            <w:pPr>
              <w:jc w:val="center"/>
            </w:pPr>
            <w:bookmarkStart w:id="0" w:name="_GoBack"/>
            <w:bookmarkEnd w:id="0"/>
            <w:r>
              <w:t>BATIKENT ŞEVKET EVLİYAGİL MESLEKİ TEKNİK ANADOLU LİSESİ 2024/2025 EĞİTİM ÖĞRETİM YILI 2. DÖNEM 9. SINIF BİYOLOJİ DERSİ 1. YAZILI KONU DAĞILIM TABLOSU</w:t>
            </w:r>
          </w:p>
        </w:tc>
      </w:tr>
      <w:tr w:rsidR="002B5DEE" w:rsidTr="008E65F0">
        <w:trPr>
          <w:trHeight w:val="965"/>
        </w:trPr>
        <w:tc>
          <w:tcPr>
            <w:tcW w:w="1595" w:type="dxa"/>
          </w:tcPr>
          <w:p w:rsidR="002B5DEE" w:rsidRDefault="002B5DEE" w:rsidP="008E65F0"/>
          <w:p w:rsidR="00E13369" w:rsidRDefault="00E13369" w:rsidP="008E65F0">
            <w:r>
              <w:t>TEMA</w:t>
            </w:r>
          </w:p>
        </w:tc>
        <w:tc>
          <w:tcPr>
            <w:tcW w:w="3160" w:type="dxa"/>
          </w:tcPr>
          <w:p w:rsidR="002B5DEE" w:rsidRDefault="002B5DEE" w:rsidP="008E65F0"/>
          <w:p w:rsidR="00E13369" w:rsidRDefault="00E13369" w:rsidP="008E65F0">
            <w:r>
              <w:t>KONU</w:t>
            </w:r>
            <w:r w:rsidR="00BA7BE8">
              <w:t xml:space="preserve"> </w:t>
            </w:r>
            <w:r>
              <w:t>(İÇERİK ÇERÇEVESİ)</w:t>
            </w:r>
          </w:p>
        </w:tc>
        <w:tc>
          <w:tcPr>
            <w:tcW w:w="4293" w:type="dxa"/>
          </w:tcPr>
          <w:p w:rsidR="002B5DEE" w:rsidRDefault="002B5DEE" w:rsidP="008E65F0"/>
          <w:p w:rsidR="00E13369" w:rsidRDefault="00E13369" w:rsidP="008E65F0">
            <w:r>
              <w:t>ÖĞRENME ÇIKTILARI</w:t>
            </w:r>
          </w:p>
        </w:tc>
        <w:tc>
          <w:tcPr>
            <w:tcW w:w="733" w:type="dxa"/>
          </w:tcPr>
          <w:p w:rsidR="00E13369" w:rsidRDefault="00E13369" w:rsidP="008E65F0">
            <w:r>
              <w:t>SORU SAYISI</w:t>
            </w:r>
          </w:p>
        </w:tc>
      </w:tr>
      <w:tr w:rsidR="002B5DEE" w:rsidTr="008E65F0">
        <w:trPr>
          <w:trHeight w:val="1861"/>
        </w:trPr>
        <w:tc>
          <w:tcPr>
            <w:tcW w:w="1595" w:type="dxa"/>
            <w:vMerge w:val="restart"/>
          </w:tcPr>
          <w:p w:rsidR="002B5DEE" w:rsidRDefault="002B5DEE" w:rsidP="008E65F0"/>
          <w:p w:rsidR="00E13369" w:rsidRDefault="00E13369" w:rsidP="008E65F0"/>
          <w:p w:rsidR="00E13369" w:rsidRDefault="00E13369" w:rsidP="008E65F0"/>
          <w:p w:rsidR="00E13369" w:rsidRDefault="00E13369" w:rsidP="008E65F0">
            <w:r>
              <w:t>YAŞAM</w:t>
            </w:r>
          </w:p>
        </w:tc>
        <w:tc>
          <w:tcPr>
            <w:tcW w:w="3160" w:type="dxa"/>
          </w:tcPr>
          <w:p w:rsidR="002B5DEE" w:rsidRDefault="00E13369" w:rsidP="008E65F0">
            <w:proofErr w:type="spellStart"/>
            <w:r>
              <w:t>Üç</w:t>
            </w:r>
            <w:proofErr w:type="spellEnd"/>
            <w:r>
              <w:t xml:space="preserve"> </w:t>
            </w:r>
            <w:proofErr w:type="spellStart"/>
            <w:r>
              <w:t>Üst</w:t>
            </w:r>
            <w:proofErr w:type="spellEnd"/>
            <w:r>
              <w:t xml:space="preserve"> </w:t>
            </w:r>
            <w:proofErr w:type="spellStart"/>
            <w:r>
              <w:t>Alem</w:t>
            </w:r>
            <w:proofErr w:type="spellEnd"/>
            <w:r>
              <w:t xml:space="preserve"> (Domain) </w:t>
            </w:r>
            <w:proofErr w:type="spellStart"/>
            <w:r>
              <w:t>Sisteminde</w:t>
            </w:r>
            <w:proofErr w:type="spellEnd"/>
            <w:r>
              <w:t xml:space="preserve"> </w:t>
            </w:r>
            <w:proofErr w:type="spellStart"/>
            <w:r>
              <w:t>Yer</w:t>
            </w:r>
            <w:proofErr w:type="spellEnd"/>
            <w:r>
              <w:t xml:space="preserve"> Alan </w:t>
            </w:r>
            <w:proofErr w:type="spellStart"/>
            <w:r>
              <w:t>Canlılar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  <w:r>
              <w:t xml:space="preserve"> </w:t>
            </w:r>
            <w:proofErr w:type="spellStart"/>
            <w:r>
              <w:t>Bakteriler</w:t>
            </w:r>
            <w:proofErr w:type="spellEnd"/>
            <w:r>
              <w:t xml:space="preserve">, </w:t>
            </w:r>
            <w:proofErr w:type="spellStart"/>
            <w:r>
              <w:t>Arkeler</w:t>
            </w:r>
            <w:proofErr w:type="spellEnd"/>
            <w:r>
              <w:t xml:space="preserve">, </w:t>
            </w:r>
            <w:proofErr w:type="spellStart"/>
            <w:r>
              <w:t>Ökaryotlar</w:t>
            </w:r>
            <w:proofErr w:type="spellEnd"/>
            <w:r>
              <w:t xml:space="preserve"> (</w:t>
            </w:r>
            <w:proofErr w:type="spellStart"/>
            <w:r>
              <w:t>Protistler</w:t>
            </w:r>
            <w:proofErr w:type="spellEnd"/>
            <w:r>
              <w:t xml:space="preserve">, </w:t>
            </w:r>
            <w:proofErr w:type="spellStart"/>
            <w:r>
              <w:t>Bitkiler</w:t>
            </w:r>
            <w:proofErr w:type="spellEnd"/>
            <w:r>
              <w:t xml:space="preserve">, </w:t>
            </w:r>
            <w:proofErr w:type="spellStart"/>
            <w:r>
              <w:t>Mantarlar</w:t>
            </w:r>
            <w:proofErr w:type="spellEnd"/>
            <w:r>
              <w:t xml:space="preserve">, </w:t>
            </w:r>
            <w:proofErr w:type="spellStart"/>
            <w:r>
              <w:t>Hayvanlar</w:t>
            </w:r>
            <w:proofErr w:type="spellEnd"/>
            <w:r>
              <w:t>)</w:t>
            </w:r>
          </w:p>
        </w:tc>
        <w:tc>
          <w:tcPr>
            <w:tcW w:w="4293" w:type="dxa"/>
          </w:tcPr>
          <w:p w:rsidR="002B5DEE" w:rsidRDefault="00EF3E8C" w:rsidP="008E65F0">
            <w:r>
              <w:t xml:space="preserve">BİY.9.1.6 </w:t>
            </w:r>
            <w:proofErr w:type="spellStart"/>
            <w:r>
              <w:t>Üç</w:t>
            </w:r>
            <w:proofErr w:type="spellEnd"/>
            <w:r>
              <w:t xml:space="preserve"> </w:t>
            </w:r>
            <w:proofErr w:type="spellStart"/>
            <w:r>
              <w:t>üst</w:t>
            </w:r>
            <w:proofErr w:type="spellEnd"/>
            <w:r>
              <w:t xml:space="preserve"> </w:t>
            </w:r>
            <w:proofErr w:type="spellStart"/>
            <w:r>
              <w:t>alem</w:t>
            </w:r>
            <w:proofErr w:type="spellEnd"/>
            <w:r>
              <w:t xml:space="preserve"> (domain) </w:t>
            </w:r>
            <w:proofErr w:type="spellStart"/>
            <w:r>
              <w:t>sisteminde</w:t>
            </w:r>
            <w:proofErr w:type="spellEnd"/>
            <w:r>
              <w:t xml:space="preserve"> </w:t>
            </w:r>
            <w:proofErr w:type="spellStart"/>
            <w:r>
              <w:t>yer</w:t>
            </w:r>
            <w:proofErr w:type="spellEnd"/>
            <w:r>
              <w:t xml:space="preserve"> </w:t>
            </w:r>
            <w:proofErr w:type="spellStart"/>
            <w:r>
              <w:t>alan</w:t>
            </w:r>
            <w:proofErr w:type="spellEnd"/>
            <w:r>
              <w:t xml:space="preserve"> </w:t>
            </w:r>
            <w:proofErr w:type="spellStart"/>
            <w:r>
              <w:t>canlıların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çıkarım</w:t>
            </w:r>
            <w:proofErr w:type="spellEnd"/>
            <w:r>
              <w:t xml:space="preserve"> </w:t>
            </w:r>
            <w:proofErr w:type="spellStart"/>
            <w:r>
              <w:t>yapabilme</w:t>
            </w:r>
            <w:proofErr w:type="spellEnd"/>
            <w:r>
              <w:t>.</w:t>
            </w:r>
          </w:p>
        </w:tc>
        <w:tc>
          <w:tcPr>
            <w:tcW w:w="733" w:type="dxa"/>
          </w:tcPr>
          <w:p w:rsidR="002B5DEE" w:rsidRDefault="002B5DEE" w:rsidP="008E65F0"/>
          <w:p w:rsidR="00CD6678" w:rsidRDefault="00CD6678" w:rsidP="008E65F0">
            <w:r>
              <w:t>2</w:t>
            </w:r>
          </w:p>
        </w:tc>
      </w:tr>
      <w:tr w:rsidR="002B5DEE" w:rsidTr="008E65F0">
        <w:trPr>
          <w:trHeight w:val="1943"/>
        </w:trPr>
        <w:tc>
          <w:tcPr>
            <w:tcW w:w="1595" w:type="dxa"/>
            <w:vMerge/>
          </w:tcPr>
          <w:p w:rsidR="002B5DEE" w:rsidRDefault="002B5DEE" w:rsidP="008E65F0"/>
        </w:tc>
        <w:tc>
          <w:tcPr>
            <w:tcW w:w="3160" w:type="dxa"/>
          </w:tcPr>
          <w:p w:rsidR="002B5DEE" w:rsidRDefault="002B5DEE" w:rsidP="008E65F0"/>
          <w:p w:rsidR="00CD6678" w:rsidRDefault="00CD6678" w:rsidP="008E65F0">
            <w:proofErr w:type="spellStart"/>
            <w:r>
              <w:t>Biyoçeşitlilik</w:t>
            </w:r>
            <w:proofErr w:type="spellEnd"/>
          </w:p>
        </w:tc>
        <w:tc>
          <w:tcPr>
            <w:tcW w:w="4293" w:type="dxa"/>
          </w:tcPr>
          <w:p w:rsidR="002B5DEE" w:rsidRDefault="002B5DEE" w:rsidP="008E65F0"/>
          <w:p w:rsidR="00CD6678" w:rsidRDefault="00CD6678" w:rsidP="008E65F0">
            <w:r>
              <w:t xml:space="preserve">BİY.9.1.7. </w:t>
            </w:r>
            <w:proofErr w:type="spellStart"/>
            <w:r>
              <w:t>Biyoçeşitliliği</w:t>
            </w:r>
            <w:proofErr w:type="spellEnd"/>
            <w:r>
              <w:t xml:space="preserve"> </w:t>
            </w:r>
            <w:proofErr w:type="spellStart"/>
            <w:r>
              <w:t>oluşturan</w:t>
            </w:r>
            <w:proofErr w:type="spellEnd"/>
            <w:r>
              <w:t xml:space="preserve"> </w:t>
            </w:r>
            <w:proofErr w:type="spellStart"/>
            <w:r>
              <w:t>unsurlarla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bilimsel</w:t>
            </w:r>
            <w:proofErr w:type="spellEnd"/>
            <w:r>
              <w:t xml:space="preserve"> </w:t>
            </w:r>
            <w:proofErr w:type="spellStart"/>
            <w:r>
              <w:t>çıkarım</w:t>
            </w:r>
            <w:proofErr w:type="spellEnd"/>
            <w:r>
              <w:t xml:space="preserve"> </w:t>
            </w:r>
            <w:proofErr w:type="spellStart"/>
            <w:r>
              <w:t>yapabilme</w:t>
            </w:r>
            <w:proofErr w:type="spellEnd"/>
            <w:r>
              <w:t>.</w:t>
            </w:r>
          </w:p>
        </w:tc>
        <w:tc>
          <w:tcPr>
            <w:tcW w:w="733" w:type="dxa"/>
          </w:tcPr>
          <w:p w:rsidR="002B5DEE" w:rsidRDefault="002B5DEE" w:rsidP="008E65F0"/>
          <w:p w:rsidR="00063040" w:rsidRDefault="00063040" w:rsidP="008E65F0">
            <w:r>
              <w:t>1</w:t>
            </w:r>
          </w:p>
        </w:tc>
      </w:tr>
      <w:tr w:rsidR="002B5DEE" w:rsidTr="008E65F0">
        <w:trPr>
          <w:trHeight w:val="1522"/>
        </w:trPr>
        <w:tc>
          <w:tcPr>
            <w:tcW w:w="1595" w:type="dxa"/>
          </w:tcPr>
          <w:p w:rsidR="002B5DEE" w:rsidRDefault="002B5DEE" w:rsidP="008E65F0"/>
          <w:p w:rsidR="00063040" w:rsidRDefault="00063040" w:rsidP="008E65F0">
            <w:r>
              <w:t>ORGANİZASYON</w:t>
            </w:r>
          </w:p>
        </w:tc>
        <w:tc>
          <w:tcPr>
            <w:tcW w:w="3160" w:type="dxa"/>
          </w:tcPr>
          <w:p w:rsidR="002B5DEE" w:rsidRDefault="002B5DEE" w:rsidP="008E65F0"/>
          <w:p w:rsidR="00063040" w:rsidRDefault="00063040" w:rsidP="008E65F0"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Bileşenler</w:t>
            </w:r>
            <w:proofErr w:type="spellEnd"/>
            <w:r>
              <w:t xml:space="preserve"> </w:t>
            </w:r>
            <w:proofErr w:type="spellStart"/>
            <w:r>
              <w:t>İnorganik</w:t>
            </w:r>
            <w:proofErr w:type="spellEnd"/>
            <w:r>
              <w:t xml:space="preserve"> </w:t>
            </w:r>
            <w:proofErr w:type="spellStart"/>
            <w:r>
              <w:t>Moleküller</w:t>
            </w:r>
            <w:proofErr w:type="spellEnd"/>
            <w:r>
              <w:t xml:space="preserve"> Su, </w:t>
            </w:r>
            <w:proofErr w:type="spellStart"/>
            <w:r>
              <w:t>Mineraller</w:t>
            </w:r>
            <w:proofErr w:type="spellEnd"/>
          </w:p>
        </w:tc>
        <w:tc>
          <w:tcPr>
            <w:tcW w:w="4293" w:type="dxa"/>
          </w:tcPr>
          <w:p w:rsidR="002B5DEE" w:rsidRDefault="002B5DEE" w:rsidP="008E65F0"/>
          <w:p w:rsidR="00063040" w:rsidRDefault="00063040" w:rsidP="008E65F0">
            <w:r>
              <w:t xml:space="preserve">BİY.9.2.1. </w:t>
            </w:r>
            <w:proofErr w:type="spellStart"/>
            <w:r>
              <w:t>İnorganik</w:t>
            </w:r>
            <w:proofErr w:type="spellEnd"/>
            <w:r>
              <w:t xml:space="preserve"> </w:t>
            </w:r>
            <w:proofErr w:type="spellStart"/>
            <w:r>
              <w:t>moleküllerin</w:t>
            </w:r>
            <w:proofErr w:type="spellEnd"/>
            <w:r>
              <w:t xml:space="preserve"> </w:t>
            </w:r>
            <w:proofErr w:type="spellStart"/>
            <w:r>
              <w:t>önemi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bilimsel</w:t>
            </w:r>
            <w:proofErr w:type="spellEnd"/>
            <w:r>
              <w:t xml:space="preserve"> </w:t>
            </w:r>
            <w:proofErr w:type="spellStart"/>
            <w:r>
              <w:t>çıkarım</w:t>
            </w:r>
            <w:proofErr w:type="spellEnd"/>
            <w:r>
              <w:t xml:space="preserve"> </w:t>
            </w:r>
            <w:proofErr w:type="spellStart"/>
            <w:r>
              <w:t>yapabilme</w:t>
            </w:r>
            <w:proofErr w:type="spellEnd"/>
            <w:r>
              <w:t>.</w:t>
            </w:r>
          </w:p>
        </w:tc>
        <w:tc>
          <w:tcPr>
            <w:tcW w:w="733" w:type="dxa"/>
          </w:tcPr>
          <w:p w:rsidR="002B5DEE" w:rsidRDefault="002B5DEE" w:rsidP="008E65F0"/>
          <w:p w:rsidR="00F73878" w:rsidRDefault="00F73878" w:rsidP="008E65F0">
            <w:r>
              <w:t>2</w:t>
            </w:r>
          </w:p>
        </w:tc>
      </w:tr>
      <w:tr w:rsidR="0048695E" w:rsidTr="008E65F0">
        <w:trPr>
          <w:trHeight w:val="937"/>
        </w:trPr>
        <w:tc>
          <w:tcPr>
            <w:tcW w:w="9048" w:type="dxa"/>
            <w:gridSpan w:val="3"/>
          </w:tcPr>
          <w:p w:rsidR="0048695E" w:rsidRDefault="0048695E" w:rsidP="008E65F0"/>
          <w:p w:rsidR="003F238D" w:rsidRDefault="003F238D" w:rsidP="008E65F0">
            <w:r>
              <w:t xml:space="preserve">                                                                         TOPLAM SORU SAYISI</w:t>
            </w:r>
          </w:p>
        </w:tc>
        <w:tc>
          <w:tcPr>
            <w:tcW w:w="733" w:type="dxa"/>
          </w:tcPr>
          <w:p w:rsidR="0048695E" w:rsidRDefault="0048695E" w:rsidP="008E65F0"/>
          <w:p w:rsidR="003F238D" w:rsidRDefault="003F238D" w:rsidP="008E65F0">
            <w:r>
              <w:t>5</w:t>
            </w:r>
          </w:p>
        </w:tc>
      </w:tr>
    </w:tbl>
    <w:p w:rsidR="00BC02B9" w:rsidRDefault="00BC02B9" w:rsidP="00BA7BE8">
      <w:pPr>
        <w:jc w:val="center"/>
      </w:pPr>
    </w:p>
    <w:tbl>
      <w:tblPr>
        <w:tblStyle w:val="TabloKlavuzu"/>
        <w:tblW w:w="9834" w:type="dxa"/>
        <w:tblInd w:w="108" w:type="dxa"/>
        <w:tblLook w:val="04A0" w:firstRow="1" w:lastRow="0" w:firstColumn="1" w:lastColumn="0" w:noHBand="0" w:noVBand="1"/>
      </w:tblPr>
      <w:tblGrid>
        <w:gridCol w:w="1145"/>
        <w:gridCol w:w="1258"/>
        <w:gridCol w:w="6432"/>
        <w:gridCol w:w="999"/>
      </w:tblGrid>
      <w:tr w:rsidR="00BC02B9" w:rsidTr="00BA7BE8">
        <w:trPr>
          <w:trHeight w:val="835"/>
        </w:trPr>
        <w:tc>
          <w:tcPr>
            <w:tcW w:w="9834" w:type="dxa"/>
            <w:gridSpan w:val="4"/>
          </w:tcPr>
          <w:p w:rsidR="00C31B9A" w:rsidRDefault="00C31B9A" w:rsidP="00BA7BE8">
            <w:pPr>
              <w:jc w:val="center"/>
            </w:pPr>
            <w:r>
              <w:t>BATIKENT ŞEVKET EVLİYAGİL MESLEKİ TEKNİK ANADOLU LİSESİ 2024/2025 EĞİTİM ÖĞRETİM YILI 2. DÖNEM 9. SINIF BİYOLOJİ DERSİ 1. YAZILI KONU DAĞILIM TABLOSU</w:t>
            </w:r>
          </w:p>
        </w:tc>
      </w:tr>
      <w:tr w:rsidR="00BC02B9" w:rsidTr="00BA7BE8">
        <w:trPr>
          <w:trHeight w:val="1087"/>
        </w:trPr>
        <w:tc>
          <w:tcPr>
            <w:tcW w:w="1145" w:type="dxa"/>
          </w:tcPr>
          <w:p w:rsidR="00BC02B9" w:rsidRDefault="00BC02B9"/>
          <w:p w:rsidR="00F17680" w:rsidRDefault="00F17680">
            <w:r>
              <w:t>ÜNİTE</w:t>
            </w:r>
          </w:p>
        </w:tc>
        <w:tc>
          <w:tcPr>
            <w:tcW w:w="1258" w:type="dxa"/>
          </w:tcPr>
          <w:p w:rsidR="00BC02B9" w:rsidRDefault="00BC02B9"/>
          <w:p w:rsidR="00F17680" w:rsidRDefault="00F17680">
            <w:r>
              <w:t>KONU</w:t>
            </w:r>
          </w:p>
        </w:tc>
        <w:tc>
          <w:tcPr>
            <w:tcW w:w="6432" w:type="dxa"/>
          </w:tcPr>
          <w:p w:rsidR="00BC02B9" w:rsidRDefault="00BC02B9"/>
          <w:p w:rsidR="00F17680" w:rsidRDefault="00F17680">
            <w:r>
              <w:t>KAZANIMLAR</w:t>
            </w:r>
          </w:p>
        </w:tc>
        <w:tc>
          <w:tcPr>
            <w:tcW w:w="999" w:type="dxa"/>
          </w:tcPr>
          <w:p w:rsidR="00BC02B9" w:rsidRDefault="00F17680">
            <w:r>
              <w:t>SORU SAYISI</w:t>
            </w:r>
          </w:p>
        </w:tc>
      </w:tr>
      <w:tr w:rsidR="00BC02B9" w:rsidTr="00BA7BE8">
        <w:trPr>
          <w:trHeight w:val="652"/>
        </w:trPr>
        <w:tc>
          <w:tcPr>
            <w:tcW w:w="1145" w:type="dxa"/>
            <w:vMerge w:val="restart"/>
          </w:tcPr>
          <w:p w:rsidR="00BC02B9" w:rsidRDefault="00F17680">
            <w:proofErr w:type="spellStart"/>
            <w:r>
              <w:t>Kalıtımın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İlkeleri</w:t>
            </w:r>
            <w:proofErr w:type="spellEnd"/>
          </w:p>
        </w:tc>
        <w:tc>
          <w:tcPr>
            <w:tcW w:w="1258" w:type="dxa"/>
            <w:vMerge w:val="restart"/>
          </w:tcPr>
          <w:p w:rsidR="00BC02B9" w:rsidRDefault="00F17680">
            <w:proofErr w:type="spellStart"/>
            <w:r>
              <w:t>Kalıtım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Biyolojik</w:t>
            </w:r>
            <w:proofErr w:type="spellEnd"/>
            <w:r>
              <w:t xml:space="preserve"> </w:t>
            </w:r>
            <w:proofErr w:type="spellStart"/>
            <w:r>
              <w:t>Çeşitlilik</w:t>
            </w:r>
            <w:proofErr w:type="spellEnd"/>
          </w:p>
        </w:tc>
        <w:tc>
          <w:tcPr>
            <w:tcW w:w="6432" w:type="dxa"/>
          </w:tcPr>
          <w:p w:rsidR="00BC02B9" w:rsidRDefault="00F64809">
            <w:r>
              <w:t xml:space="preserve">10.2.1.1. </w:t>
            </w:r>
            <w:proofErr w:type="spellStart"/>
            <w:r>
              <w:t>Kalıtımın</w:t>
            </w:r>
            <w:proofErr w:type="spellEnd"/>
            <w:r>
              <w:t xml:space="preserve"> </w:t>
            </w: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esaslarını</w:t>
            </w:r>
            <w:proofErr w:type="spellEnd"/>
            <w:r>
              <w:t xml:space="preserve"> </w:t>
            </w:r>
            <w:proofErr w:type="spellStart"/>
            <w:r>
              <w:t>açıklar</w:t>
            </w:r>
            <w:proofErr w:type="spellEnd"/>
            <w:r>
              <w:t>.</w:t>
            </w:r>
          </w:p>
        </w:tc>
        <w:tc>
          <w:tcPr>
            <w:tcW w:w="999" w:type="dxa"/>
          </w:tcPr>
          <w:p w:rsidR="00F64809" w:rsidRDefault="00F64809">
            <w:r>
              <w:t>4</w:t>
            </w:r>
          </w:p>
        </w:tc>
      </w:tr>
      <w:tr w:rsidR="009A14AB" w:rsidTr="00BA7BE8">
        <w:trPr>
          <w:trHeight w:val="679"/>
        </w:trPr>
        <w:tc>
          <w:tcPr>
            <w:tcW w:w="1145" w:type="dxa"/>
            <w:vMerge/>
          </w:tcPr>
          <w:p w:rsidR="009A14AB" w:rsidRDefault="009A14AB"/>
        </w:tc>
        <w:tc>
          <w:tcPr>
            <w:tcW w:w="1258" w:type="dxa"/>
            <w:vMerge/>
          </w:tcPr>
          <w:p w:rsidR="009A14AB" w:rsidRDefault="009A14AB"/>
        </w:tc>
        <w:tc>
          <w:tcPr>
            <w:tcW w:w="6432" w:type="dxa"/>
          </w:tcPr>
          <w:p w:rsidR="009A14AB" w:rsidRDefault="000E33D3">
            <w:r>
              <w:t xml:space="preserve">10.2.1.2. </w:t>
            </w:r>
            <w:proofErr w:type="spellStart"/>
            <w:r>
              <w:t>Genetik</w:t>
            </w:r>
            <w:proofErr w:type="spellEnd"/>
            <w:r>
              <w:t xml:space="preserve"> </w:t>
            </w:r>
            <w:proofErr w:type="spellStart"/>
            <w:r>
              <w:t>varyasyonların</w:t>
            </w:r>
            <w:proofErr w:type="spellEnd"/>
            <w:r>
              <w:t xml:space="preserve"> </w:t>
            </w:r>
            <w:proofErr w:type="spellStart"/>
            <w:r>
              <w:t>biyolojik</w:t>
            </w:r>
            <w:proofErr w:type="spellEnd"/>
            <w:r>
              <w:t xml:space="preserve"> </w:t>
            </w:r>
            <w:proofErr w:type="spellStart"/>
            <w:r>
              <w:t>çeşitliliği</w:t>
            </w:r>
            <w:proofErr w:type="spellEnd"/>
            <w:r>
              <w:t xml:space="preserve"> </w:t>
            </w:r>
            <w:proofErr w:type="spellStart"/>
            <w:r>
              <w:t>açıklamadaki</w:t>
            </w:r>
            <w:proofErr w:type="spellEnd"/>
            <w:r>
              <w:t xml:space="preserve"> </w:t>
            </w:r>
            <w:proofErr w:type="spellStart"/>
            <w:r>
              <w:t>rolünü</w:t>
            </w:r>
            <w:proofErr w:type="spellEnd"/>
            <w:r>
              <w:t xml:space="preserve"> </w:t>
            </w:r>
            <w:proofErr w:type="spellStart"/>
            <w:r>
              <w:t>sorgular</w:t>
            </w:r>
            <w:proofErr w:type="spellEnd"/>
            <w:r>
              <w:t>.</w:t>
            </w:r>
          </w:p>
        </w:tc>
        <w:tc>
          <w:tcPr>
            <w:tcW w:w="999" w:type="dxa"/>
          </w:tcPr>
          <w:p w:rsidR="009A14AB" w:rsidRDefault="000E33D3">
            <w:r>
              <w:t>1</w:t>
            </w:r>
          </w:p>
        </w:tc>
      </w:tr>
      <w:tr w:rsidR="00BA7BE8" w:rsidTr="00BA7BE8">
        <w:trPr>
          <w:trHeight w:val="953"/>
        </w:trPr>
        <w:tc>
          <w:tcPr>
            <w:tcW w:w="8835" w:type="dxa"/>
            <w:gridSpan w:val="3"/>
          </w:tcPr>
          <w:p w:rsidR="00BA7BE8" w:rsidRDefault="00BA7BE8" w:rsidP="00FC2D9A"/>
          <w:p w:rsidR="00BA7BE8" w:rsidRDefault="00BA7BE8" w:rsidP="00FC2D9A">
            <w:r>
              <w:t xml:space="preserve">                                                                         TOPLAM SORU SAYISI</w:t>
            </w:r>
          </w:p>
        </w:tc>
        <w:tc>
          <w:tcPr>
            <w:tcW w:w="999" w:type="dxa"/>
          </w:tcPr>
          <w:p w:rsidR="00BA7BE8" w:rsidRDefault="00BA7BE8"/>
          <w:p w:rsidR="00BA7BE8" w:rsidRDefault="00BA7BE8">
            <w:r>
              <w:t>5</w:t>
            </w:r>
          </w:p>
        </w:tc>
      </w:tr>
    </w:tbl>
    <w:p w:rsidR="00FF73C1" w:rsidRDefault="00FF73C1"/>
    <w:p w:rsidR="00BA7BE8" w:rsidRDefault="00BA7BE8"/>
    <w:tbl>
      <w:tblPr>
        <w:tblpPr w:leftFromText="141" w:rightFromText="141" w:vertAnchor="page" w:horzAnchor="margin" w:tblpXSpec="center" w:tblpY="2900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1345"/>
        <w:gridCol w:w="6012"/>
        <w:gridCol w:w="1685"/>
      </w:tblGrid>
      <w:tr w:rsidR="00BA7BE8" w:rsidRPr="00420368" w:rsidTr="00FC2D9A">
        <w:trPr>
          <w:trHeight w:val="1658"/>
        </w:trPr>
        <w:tc>
          <w:tcPr>
            <w:tcW w:w="10032" w:type="dxa"/>
            <w:gridSpan w:val="4"/>
            <w:shd w:val="clear" w:color="auto" w:fill="auto"/>
            <w:vAlign w:val="center"/>
          </w:tcPr>
          <w:p w:rsidR="00BA7BE8" w:rsidRPr="00BA7BE8" w:rsidRDefault="00BA7BE8" w:rsidP="00FC2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BA7BE8">
              <w:rPr>
                <w:rFonts w:eastAsia="Times New Roman" w:cstheme="minorHAnsi"/>
                <w:b/>
                <w:bCs/>
                <w:sz w:val="18"/>
                <w:szCs w:val="18"/>
              </w:rPr>
              <w:lastRenderedPageBreak/>
              <w:t xml:space="preserve">BATIKENT ŞEVKET EVLİYAGİL MESLEKİ TEKNİK ANADOLU LİSESİ 2024/2025 EĞİTİM ÖĞRETİM 11. SINIF SAĞLIK BİLGİSİ VE TRAFİK KÜLTÜRÜ </w:t>
            </w:r>
            <w:proofErr w:type="gramStart"/>
            <w:r w:rsidRPr="00BA7BE8">
              <w:rPr>
                <w:rFonts w:eastAsia="Times New Roman" w:cstheme="minorHAnsi"/>
                <w:b/>
                <w:bCs/>
                <w:sz w:val="18"/>
                <w:szCs w:val="18"/>
              </w:rPr>
              <w:t>DERSİ  2</w:t>
            </w:r>
            <w:proofErr w:type="gramEnd"/>
            <w:r w:rsidRPr="00BA7BE8">
              <w:rPr>
                <w:rFonts w:eastAsia="Times New Roman" w:cstheme="minorHAnsi"/>
                <w:b/>
                <w:bCs/>
                <w:sz w:val="18"/>
                <w:szCs w:val="18"/>
              </w:rPr>
              <w:t>. DÖNEM 1. YAZILI KONU DAĞILIM TABLOSU</w:t>
            </w:r>
          </w:p>
          <w:p w:rsidR="00BA7BE8" w:rsidRPr="00BA7BE8" w:rsidRDefault="00BA7BE8" w:rsidP="00FC2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</w:tr>
      <w:tr w:rsidR="00BA7BE8" w:rsidRPr="00420368" w:rsidTr="00FC2D9A">
        <w:trPr>
          <w:trHeight w:val="1990"/>
        </w:trPr>
        <w:tc>
          <w:tcPr>
            <w:tcW w:w="990" w:type="dxa"/>
            <w:shd w:val="clear" w:color="auto" w:fill="auto"/>
            <w:vAlign w:val="center"/>
            <w:hideMark/>
          </w:tcPr>
          <w:p w:rsidR="00BA7BE8" w:rsidRPr="00BA7BE8" w:rsidRDefault="00BA7BE8" w:rsidP="00FC2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BA7BE8">
              <w:rPr>
                <w:rFonts w:eastAsia="Times New Roman" w:cstheme="minorHAnsi"/>
                <w:b/>
                <w:bCs/>
                <w:sz w:val="18"/>
                <w:szCs w:val="18"/>
              </w:rPr>
              <w:t>Ünite</w:t>
            </w:r>
            <w:proofErr w:type="spellEnd"/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BA7BE8" w:rsidRPr="00BA7BE8" w:rsidRDefault="00BA7BE8" w:rsidP="00FC2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BA7BE8">
              <w:rPr>
                <w:rFonts w:eastAsia="Times New Roman" w:cstheme="minorHAnsi"/>
                <w:b/>
                <w:bCs/>
                <w:sz w:val="18"/>
                <w:szCs w:val="18"/>
              </w:rPr>
              <w:t>Konu</w:t>
            </w:r>
            <w:proofErr w:type="spellEnd"/>
          </w:p>
        </w:tc>
        <w:tc>
          <w:tcPr>
            <w:tcW w:w="6011" w:type="dxa"/>
            <w:shd w:val="clear" w:color="auto" w:fill="auto"/>
            <w:vAlign w:val="center"/>
            <w:hideMark/>
          </w:tcPr>
          <w:p w:rsidR="00BA7BE8" w:rsidRPr="00BA7BE8" w:rsidRDefault="00BA7BE8" w:rsidP="00FC2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BA7BE8">
              <w:rPr>
                <w:rFonts w:eastAsia="Times New Roman" w:cstheme="minorHAnsi"/>
                <w:b/>
                <w:bCs/>
                <w:sz w:val="18"/>
                <w:szCs w:val="18"/>
              </w:rPr>
              <w:t>Kazanımlar</w:t>
            </w:r>
            <w:proofErr w:type="spellEnd"/>
            <w:r w:rsidRPr="00BA7BE8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b/>
                <w:bCs/>
                <w:sz w:val="18"/>
                <w:szCs w:val="18"/>
              </w:rPr>
              <w:t>ve</w:t>
            </w:r>
            <w:proofErr w:type="spellEnd"/>
            <w:r w:rsidRPr="00BA7BE8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b/>
                <w:bCs/>
                <w:sz w:val="18"/>
                <w:szCs w:val="18"/>
              </w:rPr>
              <w:t>Açıklamaları</w:t>
            </w:r>
            <w:proofErr w:type="spellEnd"/>
          </w:p>
        </w:tc>
        <w:tc>
          <w:tcPr>
            <w:tcW w:w="1685" w:type="dxa"/>
            <w:shd w:val="clear" w:color="auto" w:fill="EEECE1" w:themeFill="background2"/>
          </w:tcPr>
          <w:p w:rsidR="00BA7BE8" w:rsidRPr="00BA7BE8" w:rsidRDefault="00BA7BE8" w:rsidP="00FC2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BA7BE8">
              <w:rPr>
                <w:rFonts w:eastAsia="Times New Roman" w:cstheme="minorHAnsi"/>
                <w:b/>
                <w:bCs/>
                <w:sz w:val="18"/>
                <w:szCs w:val="18"/>
              </w:rPr>
              <w:t>2.SENARYO</w:t>
            </w:r>
          </w:p>
          <w:p w:rsidR="00BA7BE8" w:rsidRPr="00BA7BE8" w:rsidRDefault="00BA7BE8" w:rsidP="00FC2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BA7BE8">
              <w:rPr>
                <w:rFonts w:eastAsia="Times New Roman" w:cstheme="minorHAnsi"/>
                <w:b/>
                <w:bCs/>
                <w:sz w:val="18"/>
                <w:szCs w:val="18"/>
              </w:rPr>
              <w:t>Soru</w:t>
            </w:r>
            <w:proofErr w:type="spellEnd"/>
          </w:p>
          <w:p w:rsidR="00BA7BE8" w:rsidRPr="00BA7BE8" w:rsidRDefault="00BA7BE8" w:rsidP="00FC2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BA7BE8">
              <w:rPr>
                <w:rFonts w:eastAsia="Times New Roman" w:cstheme="minorHAnsi"/>
                <w:b/>
                <w:bCs/>
                <w:sz w:val="18"/>
                <w:szCs w:val="18"/>
              </w:rPr>
              <w:t>Sayısı</w:t>
            </w:r>
            <w:proofErr w:type="spellEnd"/>
          </w:p>
        </w:tc>
      </w:tr>
      <w:tr w:rsidR="00BA7BE8" w:rsidRPr="00420368" w:rsidTr="00FC2D9A">
        <w:trPr>
          <w:trHeight w:val="1351"/>
        </w:trPr>
        <w:tc>
          <w:tcPr>
            <w:tcW w:w="990" w:type="dxa"/>
            <w:vMerge w:val="restart"/>
            <w:shd w:val="clear" w:color="auto" w:fill="auto"/>
            <w:textDirection w:val="btLr"/>
            <w:vAlign w:val="center"/>
            <w:hideMark/>
          </w:tcPr>
          <w:p w:rsidR="00BA7BE8" w:rsidRPr="00BA7BE8" w:rsidRDefault="00BA7BE8" w:rsidP="00FC2D9A">
            <w:pPr>
              <w:spacing w:after="0" w:line="240" w:lineRule="auto"/>
              <w:ind w:left="113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BA7BE8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                                                                    1.ÜNİTE:  SAĞLIK  BİLGİSİ</w:t>
            </w:r>
          </w:p>
          <w:p w:rsidR="00BA7BE8" w:rsidRPr="00BA7BE8" w:rsidRDefault="00BA7BE8" w:rsidP="00FC2D9A">
            <w:pPr>
              <w:spacing w:after="0" w:line="240" w:lineRule="auto"/>
              <w:ind w:left="113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BA7BE8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                                                                   2.ÜNİTE: TRAFİK KÜLTÜRÜ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BA7BE8" w:rsidRPr="00BA7BE8" w:rsidRDefault="00BA7BE8" w:rsidP="00FC2D9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BA7BE8">
              <w:rPr>
                <w:rFonts w:eastAsia="Times New Roman" w:cstheme="minorHAnsi"/>
                <w:sz w:val="18"/>
                <w:szCs w:val="18"/>
              </w:rPr>
              <w:t xml:space="preserve">*İlk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Yardım</w:t>
            </w:r>
            <w:proofErr w:type="spellEnd"/>
          </w:p>
          <w:p w:rsidR="00BA7BE8" w:rsidRPr="00BA7BE8" w:rsidRDefault="00BA7BE8" w:rsidP="00FC2D9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BA7BE8">
              <w:rPr>
                <w:rFonts w:eastAsia="Times New Roman" w:cstheme="minorHAnsi"/>
                <w:sz w:val="18"/>
                <w:szCs w:val="18"/>
              </w:rPr>
              <w:t>*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Trafik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Kültürü</w:t>
            </w:r>
            <w:proofErr w:type="spellEnd"/>
          </w:p>
          <w:p w:rsidR="00BA7BE8" w:rsidRPr="00BA7BE8" w:rsidRDefault="00BA7BE8" w:rsidP="00FC2D9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BA7BE8">
              <w:rPr>
                <w:rFonts w:eastAsia="Times New Roman" w:cstheme="minorHAnsi"/>
                <w:sz w:val="18"/>
                <w:szCs w:val="18"/>
              </w:rPr>
              <w:t>*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Trafik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Kuralları</w:t>
            </w:r>
            <w:proofErr w:type="spellEnd"/>
          </w:p>
          <w:p w:rsidR="00BA7BE8" w:rsidRPr="00BA7BE8" w:rsidRDefault="00BA7BE8" w:rsidP="00FC2D9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BA7BE8">
              <w:rPr>
                <w:rFonts w:eastAsia="Times New Roman" w:cstheme="minorHAnsi"/>
                <w:sz w:val="18"/>
                <w:szCs w:val="18"/>
              </w:rPr>
              <w:t>*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Trafik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Güvenliği</w:t>
            </w:r>
            <w:proofErr w:type="spellEnd"/>
          </w:p>
          <w:p w:rsidR="00BA7BE8" w:rsidRPr="00BA7BE8" w:rsidRDefault="00BA7BE8" w:rsidP="00FC2D9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011" w:type="dxa"/>
            <w:shd w:val="clear" w:color="000000" w:fill="FFFF00"/>
            <w:vAlign w:val="center"/>
            <w:hideMark/>
          </w:tcPr>
          <w:p w:rsidR="00BA7BE8" w:rsidRPr="00BA7BE8" w:rsidRDefault="00BA7BE8" w:rsidP="00FC2D9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highlight w:val="yellow"/>
              </w:rPr>
            </w:pPr>
            <w:r w:rsidRPr="00BA7BE8">
              <w:rPr>
                <w:rFonts w:eastAsia="Times New Roman" w:cstheme="minorHAnsi"/>
                <w:sz w:val="18"/>
                <w:szCs w:val="18"/>
              </w:rPr>
              <w:t xml:space="preserve">İlk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yardımın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önemini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açıklar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. </w:t>
            </w:r>
            <w:proofErr w:type="gramStart"/>
            <w:r w:rsidRPr="00BA7BE8">
              <w:rPr>
                <w:rFonts w:eastAsia="Times New Roman" w:cstheme="minorHAnsi"/>
                <w:sz w:val="18"/>
                <w:szCs w:val="18"/>
              </w:rPr>
              <w:t>a</w:t>
            </w:r>
            <w:proofErr w:type="gram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. İlk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yardım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ve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acil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yardım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kavramları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üzerinde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durulur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. </w:t>
            </w:r>
            <w:proofErr w:type="gramStart"/>
            <w:r w:rsidRPr="00BA7BE8">
              <w:rPr>
                <w:rFonts w:eastAsia="Times New Roman" w:cstheme="minorHAnsi"/>
                <w:sz w:val="18"/>
                <w:szCs w:val="18"/>
              </w:rPr>
              <w:t>b</w:t>
            </w:r>
            <w:proofErr w:type="gram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. İlk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yardımın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insan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hayatı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açısından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önemi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istatistiki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verilerden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yararlanılarak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açıklanır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. </w:t>
            </w:r>
            <w:proofErr w:type="gramStart"/>
            <w:r w:rsidRPr="00BA7BE8">
              <w:rPr>
                <w:rFonts w:eastAsia="Times New Roman" w:cstheme="minorHAnsi"/>
                <w:sz w:val="18"/>
                <w:szCs w:val="18"/>
              </w:rPr>
              <w:t>c</w:t>
            </w:r>
            <w:proofErr w:type="gram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.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İyi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niyetle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fakat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bilinçsiz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olarak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yapılacak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olan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ilk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yardım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uygulamalarının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hastanın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>/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yaralının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engelli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kalmasına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veya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hayatını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tehlikeye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sokmasına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neden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olacağından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bu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uygulamaların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eğitim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almış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sertifikalı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kişiler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tarafından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yapılmasının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gerekliliği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vurgulanır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1685" w:type="dxa"/>
            <w:shd w:val="clear" w:color="auto" w:fill="EEECE1" w:themeFill="background2"/>
          </w:tcPr>
          <w:p w:rsidR="00BA7BE8" w:rsidRPr="00BA7BE8" w:rsidRDefault="00BA7BE8" w:rsidP="00FC2D9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BA7BE8" w:rsidRPr="00BA7BE8" w:rsidRDefault="00BA7BE8" w:rsidP="00FC2D9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BA7BE8" w:rsidRPr="00BA7BE8" w:rsidRDefault="00BA7BE8" w:rsidP="00FC2D9A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 w:rsidRPr="00BA7BE8">
              <w:rPr>
                <w:rFonts w:eastAsia="Times New Roman" w:cstheme="minorHAnsi"/>
                <w:b/>
                <w:sz w:val="18"/>
                <w:szCs w:val="18"/>
              </w:rPr>
              <w:t xml:space="preserve">               2</w:t>
            </w:r>
          </w:p>
        </w:tc>
      </w:tr>
      <w:tr w:rsidR="00BA7BE8" w:rsidRPr="00420368" w:rsidTr="00FC2D9A">
        <w:trPr>
          <w:trHeight w:val="492"/>
        </w:trPr>
        <w:tc>
          <w:tcPr>
            <w:tcW w:w="990" w:type="dxa"/>
            <w:vMerge/>
            <w:vAlign w:val="center"/>
          </w:tcPr>
          <w:p w:rsidR="00BA7BE8" w:rsidRPr="00BA7BE8" w:rsidRDefault="00BA7BE8" w:rsidP="00FC2D9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5" w:type="dxa"/>
            <w:vMerge/>
            <w:shd w:val="clear" w:color="000000" w:fill="FFFFFF"/>
            <w:vAlign w:val="center"/>
          </w:tcPr>
          <w:p w:rsidR="00BA7BE8" w:rsidRPr="00BA7BE8" w:rsidRDefault="00BA7BE8" w:rsidP="00FC2D9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011" w:type="dxa"/>
            <w:shd w:val="clear" w:color="000000" w:fill="FFFFFF"/>
            <w:vAlign w:val="center"/>
          </w:tcPr>
          <w:p w:rsidR="00BA7BE8" w:rsidRPr="00BA7BE8" w:rsidRDefault="00BA7BE8" w:rsidP="00FC2D9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Kanamalarda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yapılacak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ilk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yardım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uygulamalarını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açıklar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. a.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Kanama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kavramı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üzerinde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durulur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. b.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Dış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kanamalarda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bası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uygulamanın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önemi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üzerinde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durulur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. c.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Burun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ve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kulak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kanamalarında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yapılması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gereken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ilk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yardım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uygulamalarına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değinilir</w:t>
            </w:r>
            <w:proofErr w:type="spellEnd"/>
          </w:p>
        </w:tc>
        <w:tc>
          <w:tcPr>
            <w:tcW w:w="1685" w:type="dxa"/>
            <w:shd w:val="clear" w:color="auto" w:fill="EEECE1" w:themeFill="background2"/>
          </w:tcPr>
          <w:p w:rsidR="00BA7BE8" w:rsidRPr="00BA7BE8" w:rsidRDefault="00BA7BE8" w:rsidP="00FC2D9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BA7BE8" w:rsidRPr="00BA7BE8" w:rsidRDefault="00BA7BE8" w:rsidP="00FC2D9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BA7BE8">
              <w:rPr>
                <w:rFonts w:eastAsia="Times New Roman" w:cstheme="minorHAnsi"/>
                <w:b/>
                <w:sz w:val="18"/>
                <w:szCs w:val="18"/>
              </w:rPr>
              <w:t>1</w:t>
            </w:r>
          </w:p>
        </w:tc>
      </w:tr>
      <w:tr w:rsidR="00BA7BE8" w:rsidRPr="00420368" w:rsidTr="00FC2D9A">
        <w:trPr>
          <w:trHeight w:val="492"/>
        </w:trPr>
        <w:tc>
          <w:tcPr>
            <w:tcW w:w="990" w:type="dxa"/>
            <w:vMerge/>
            <w:vAlign w:val="center"/>
          </w:tcPr>
          <w:p w:rsidR="00BA7BE8" w:rsidRPr="00BA7BE8" w:rsidRDefault="00BA7BE8" w:rsidP="00FC2D9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5" w:type="dxa"/>
            <w:vMerge/>
            <w:shd w:val="clear" w:color="000000" w:fill="FFFFFF"/>
            <w:vAlign w:val="center"/>
          </w:tcPr>
          <w:p w:rsidR="00BA7BE8" w:rsidRPr="00BA7BE8" w:rsidRDefault="00BA7BE8" w:rsidP="00FC2D9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011" w:type="dxa"/>
            <w:shd w:val="clear" w:color="000000" w:fill="FFFFFF"/>
            <w:vAlign w:val="center"/>
          </w:tcPr>
          <w:p w:rsidR="00BA7BE8" w:rsidRPr="00BA7BE8" w:rsidRDefault="00BA7BE8" w:rsidP="00FC2D9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Şok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durumunda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yapılması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gereken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ilk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yardım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uygulamalarını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açıklar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. </w:t>
            </w:r>
            <w:proofErr w:type="gramStart"/>
            <w:r w:rsidRPr="00BA7BE8">
              <w:rPr>
                <w:rFonts w:eastAsia="Times New Roman" w:cstheme="minorHAnsi"/>
                <w:sz w:val="18"/>
                <w:szCs w:val="18"/>
              </w:rPr>
              <w:t>a</w:t>
            </w:r>
            <w:proofErr w:type="gram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.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Şok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belirtileri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açıklanır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. </w:t>
            </w:r>
            <w:proofErr w:type="gramStart"/>
            <w:r w:rsidRPr="00BA7BE8">
              <w:rPr>
                <w:rFonts w:eastAsia="Times New Roman" w:cstheme="minorHAnsi"/>
                <w:sz w:val="18"/>
                <w:szCs w:val="18"/>
              </w:rPr>
              <w:t>b</w:t>
            </w:r>
            <w:proofErr w:type="gram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.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Şok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pozisyonuna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değinilir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. 1.5.8.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Zehirlenmelerde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uygulanacak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ilk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yardım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basamaklarını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açıklar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. a.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Solunum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sindirim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ve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deri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yolu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ile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zehirlenmeler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açıklanarak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belirtileri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ve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uygulanacak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ilk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yardım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işlem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basamakları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üzerinde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durulur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. </w:t>
            </w:r>
            <w:proofErr w:type="gramStart"/>
            <w:r w:rsidRPr="00BA7BE8">
              <w:rPr>
                <w:rFonts w:eastAsia="Times New Roman" w:cstheme="minorHAnsi"/>
                <w:sz w:val="18"/>
                <w:szCs w:val="18"/>
              </w:rPr>
              <w:t>b</w:t>
            </w:r>
            <w:proofErr w:type="gram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.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Ulusal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Zehir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Danışma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Merkezinin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telefon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numarasının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“114”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olduğu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belirtilir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1685" w:type="dxa"/>
            <w:shd w:val="clear" w:color="auto" w:fill="EEECE1" w:themeFill="background2"/>
          </w:tcPr>
          <w:p w:rsidR="00BA7BE8" w:rsidRPr="00BA7BE8" w:rsidRDefault="00BA7BE8" w:rsidP="00FC2D9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BA7BE8" w:rsidRPr="00BA7BE8" w:rsidRDefault="00BA7BE8" w:rsidP="00FC2D9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BA7BE8">
              <w:rPr>
                <w:rFonts w:eastAsia="Times New Roman" w:cstheme="minorHAnsi"/>
                <w:b/>
                <w:sz w:val="18"/>
                <w:szCs w:val="18"/>
              </w:rPr>
              <w:t>1</w:t>
            </w:r>
          </w:p>
        </w:tc>
      </w:tr>
      <w:tr w:rsidR="00BA7BE8" w:rsidRPr="00420368" w:rsidTr="00FC2D9A">
        <w:trPr>
          <w:trHeight w:val="1452"/>
        </w:trPr>
        <w:tc>
          <w:tcPr>
            <w:tcW w:w="990" w:type="dxa"/>
            <w:vMerge/>
            <w:vAlign w:val="center"/>
            <w:hideMark/>
          </w:tcPr>
          <w:p w:rsidR="00BA7BE8" w:rsidRPr="00BA7BE8" w:rsidRDefault="00BA7BE8" w:rsidP="00FC2D9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BA7BE8" w:rsidRPr="00BA7BE8" w:rsidRDefault="00BA7BE8" w:rsidP="00FC2D9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011" w:type="dxa"/>
            <w:shd w:val="clear" w:color="000000" w:fill="FFFFFF"/>
            <w:vAlign w:val="center"/>
            <w:hideMark/>
          </w:tcPr>
          <w:p w:rsidR="00BA7BE8" w:rsidRPr="00BA7BE8" w:rsidRDefault="00BA7BE8" w:rsidP="00FC2D9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Toplu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taşıma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araçlarında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uyulması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gereken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kuralları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açıklar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. a.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Sürücülerin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ve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yolcuların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uyması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gereken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kurallar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belirtilir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. </w:t>
            </w:r>
            <w:proofErr w:type="gramStart"/>
            <w:r w:rsidRPr="00BA7BE8">
              <w:rPr>
                <w:rFonts w:eastAsia="Times New Roman" w:cstheme="minorHAnsi"/>
                <w:sz w:val="18"/>
                <w:szCs w:val="18"/>
              </w:rPr>
              <w:t>b</w:t>
            </w:r>
            <w:proofErr w:type="gram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Toplu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taşıma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araçlarına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binişlerde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ve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inişlerde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dikkat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edilmesi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gereken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hususlar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üzerinde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durulur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. c.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Yolculuk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esnasında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(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çocuklara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yaşlılara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engellilere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hamilelere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gazilere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vb.)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duyarlı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olunması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gerektiği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vurgulanır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. ç.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Öğrencilerin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toplu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taşımayı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özendirmek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için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broşür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hazırlaması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sağlanır</w:t>
            </w:r>
            <w:proofErr w:type="spellEnd"/>
          </w:p>
        </w:tc>
        <w:tc>
          <w:tcPr>
            <w:tcW w:w="1685" w:type="dxa"/>
            <w:shd w:val="clear" w:color="auto" w:fill="EEECE1" w:themeFill="background2"/>
          </w:tcPr>
          <w:p w:rsidR="00BA7BE8" w:rsidRPr="00BA7BE8" w:rsidRDefault="00BA7BE8" w:rsidP="00FC2D9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BA7BE8" w:rsidRPr="00BA7BE8" w:rsidRDefault="00BA7BE8" w:rsidP="00FC2D9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BA7BE8">
              <w:rPr>
                <w:rFonts w:eastAsia="Times New Roman" w:cstheme="minorHAnsi"/>
                <w:b/>
                <w:sz w:val="18"/>
                <w:szCs w:val="18"/>
              </w:rPr>
              <w:t>1</w:t>
            </w:r>
          </w:p>
        </w:tc>
      </w:tr>
      <w:tr w:rsidR="00BA7BE8" w:rsidRPr="00420368" w:rsidTr="00FC2D9A">
        <w:trPr>
          <w:trHeight w:val="1320"/>
        </w:trPr>
        <w:tc>
          <w:tcPr>
            <w:tcW w:w="990" w:type="dxa"/>
            <w:vMerge/>
            <w:vAlign w:val="center"/>
          </w:tcPr>
          <w:p w:rsidR="00BA7BE8" w:rsidRPr="00BA7BE8" w:rsidRDefault="00BA7BE8" w:rsidP="00FC2D9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5" w:type="dxa"/>
            <w:vMerge/>
            <w:vAlign w:val="center"/>
          </w:tcPr>
          <w:p w:rsidR="00BA7BE8" w:rsidRPr="00BA7BE8" w:rsidRDefault="00BA7BE8" w:rsidP="00FC2D9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011" w:type="dxa"/>
            <w:shd w:val="clear" w:color="000000" w:fill="FFFFFF"/>
            <w:vAlign w:val="center"/>
          </w:tcPr>
          <w:p w:rsidR="00BA7BE8" w:rsidRPr="00BA7BE8" w:rsidRDefault="00BA7BE8" w:rsidP="00FC2D9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Okul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servislerinde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uyulması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gereken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kuralları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açıklar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. a.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Okul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servislerinde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ve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taşımalı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eğitimde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alınması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gereken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güvenlik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önlemlerine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değinilir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. b.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Okul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servis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sürücülerinin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uyması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gereken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kurallar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belirtilir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. c.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Okul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servislerinde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öğrencilerin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sergilemesi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gereken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tutum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ve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davranışlara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değinilir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. ç.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Okul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servislerinde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fark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ettiği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kural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ihlallerini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ilgililere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(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aile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öğretmen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okul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yöneticileri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, UKOME, 155 Polis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İmdat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)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bildirilmesi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gerektiği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belirtilir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1685" w:type="dxa"/>
            <w:shd w:val="clear" w:color="auto" w:fill="EEECE1" w:themeFill="background2"/>
          </w:tcPr>
          <w:p w:rsidR="00BA7BE8" w:rsidRPr="00BA7BE8" w:rsidRDefault="00BA7BE8" w:rsidP="00FC2D9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BA7BE8" w:rsidRPr="00BA7BE8" w:rsidRDefault="00BA7BE8" w:rsidP="00FC2D9A">
            <w:pPr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BA7BE8">
              <w:rPr>
                <w:rFonts w:eastAsia="Times New Roman" w:cstheme="minorHAnsi"/>
                <w:b/>
                <w:sz w:val="18"/>
                <w:szCs w:val="18"/>
              </w:rPr>
              <w:t>1</w:t>
            </w:r>
          </w:p>
        </w:tc>
      </w:tr>
      <w:tr w:rsidR="00BA7BE8" w:rsidRPr="00420368" w:rsidTr="00FC2D9A">
        <w:trPr>
          <w:trHeight w:val="1472"/>
        </w:trPr>
        <w:tc>
          <w:tcPr>
            <w:tcW w:w="990" w:type="dxa"/>
            <w:vMerge/>
            <w:vAlign w:val="center"/>
          </w:tcPr>
          <w:p w:rsidR="00BA7BE8" w:rsidRPr="00BA7BE8" w:rsidRDefault="00BA7BE8" w:rsidP="00FC2D9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45" w:type="dxa"/>
            <w:vMerge/>
            <w:vAlign w:val="center"/>
          </w:tcPr>
          <w:p w:rsidR="00BA7BE8" w:rsidRPr="00BA7BE8" w:rsidRDefault="00BA7BE8" w:rsidP="00FC2D9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011" w:type="dxa"/>
            <w:shd w:val="clear" w:color="000000" w:fill="FFFFFF"/>
            <w:vAlign w:val="center"/>
          </w:tcPr>
          <w:p w:rsidR="00BA7BE8" w:rsidRPr="00BA7BE8" w:rsidRDefault="00BA7BE8" w:rsidP="00FC2D9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Trafik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işaretleri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ve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işaret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levhalarını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tanır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. a.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Işıklı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trafik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işaret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cihazı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tehlike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uyarı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işaretleri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trafik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tanzim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işaretleri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trafik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bilgi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işaretleri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duraklama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ve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park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etme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işaretleri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otoyol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işaretleri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,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yapım-bakım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ve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onarım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işaretleri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ile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yol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çizgileri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görsellerden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yararlanılarak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tanıtılır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. b.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Trafik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işaretlerine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ve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işaret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levhalarına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uymanın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hayat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kurtarmadaki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önemi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BA7BE8">
              <w:rPr>
                <w:rFonts w:eastAsia="Times New Roman" w:cstheme="minorHAnsi"/>
                <w:sz w:val="18"/>
                <w:szCs w:val="18"/>
              </w:rPr>
              <w:t>vurgulanır</w:t>
            </w:r>
            <w:proofErr w:type="spellEnd"/>
            <w:r w:rsidRPr="00BA7BE8">
              <w:rPr>
                <w:rFonts w:eastAsia="Times New Roman" w:cstheme="minorHAnsi"/>
                <w:sz w:val="18"/>
                <w:szCs w:val="18"/>
              </w:rPr>
              <w:t>.</w:t>
            </w:r>
          </w:p>
        </w:tc>
        <w:tc>
          <w:tcPr>
            <w:tcW w:w="1685" w:type="dxa"/>
            <w:shd w:val="clear" w:color="auto" w:fill="EEECE1" w:themeFill="background2"/>
          </w:tcPr>
          <w:p w:rsidR="00BA7BE8" w:rsidRPr="00BA7BE8" w:rsidRDefault="00BA7BE8" w:rsidP="00FC2D9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BA7BE8" w:rsidRPr="00BA7BE8" w:rsidRDefault="00BA7BE8" w:rsidP="00FC2D9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BA7BE8" w:rsidRPr="00BA7BE8" w:rsidRDefault="00BA7BE8" w:rsidP="00FC2D9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BA7BE8">
              <w:rPr>
                <w:rFonts w:eastAsia="Times New Roman" w:cstheme="minorHAnsi"/>
                <w:b/>
                <w:sz w:val="18"/>
                <w:szCs w:val="18"/>
              </w:rPr>
              <w:t>1</w:t>
            </w:r>
          </w:p>
        </w:tc>
      </w:tr>
      <w:tr w:rsidR="00BA7BE8" w:rsidRPr="00420368" w:rsidTr="00FC2D9A">
        <w:trPr>
          <w:trHeight w:val="894"/>
        </w:trPr>
        <w:tc>
          <w:tcPr>
            <w:tcW w:w="8347" w:type="dxa"/>
            <w:gridSpan w:val="3"/>
            <w:shd w:val="clear" w:color="auto" w:fill="auto"/>
            <w:noWrap/>
            <w:vAlign w:val="center"/>
            <w:hideMark/>
          </w:tcPr>
          <w:p w:rsidR="00BA7BE8" w:rsidRPr="00BA7BE8" w:rsidRDefault="00BA7BE8" w:rsidP="00FC2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BA7BE8">
              <w:rPr>
                <w:rFonts w:eastAsia="Times New Roman" w:cstheme="minorHAnsi"/>
                <w:b/>
                <w:bCs/>
                <w:sz w:val="18"/>
                <w:szCs w:val="18"/>
              </w:rPr>
              <w:t>TOPLAM MADDE SAYISI</w:t>
            </w:r>
          </w:p>
        </w:tc>
        <w:tc>
          <w:tcPr>
            <w:tcW w:w="1685" w:type="dxa"/>
            <w:shd w:val="clear" w:color="auto" w:fill="EEECE1" w:themeFill="background2"/>
          </w:tcPr>
          <w:p w:rsidR="00BA7BE8" w:rsidRPr="00BA7BE8" w:rsidRDefault="00BA7BE8" w:rsidP="00FC2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  <w:p w:rsidR="00BA7BE8" w:rsidRPr="00BA7BE8" w:rsidRDefault="00BA7BE8" w:rsidP="00FC2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BA7BE8">
              <w:rPr>
                <w:rFonts w:eastAsia="Times New Roman" w:cstheme="minorHAnsi"/>
                <w:b/>
                <w:bCs/>
                <w:sz w:val="18"/>
                <w:szCs w:val="18"/>
              </w:rPr>
              <w:t>7</w:t>
            </w:r>
          </w:p>
        </w:tc>
      </w:tr>
    </w:tbl>
    <w:p w:rsidR="00BA7BE8" w:rsidRPr="00BA7BE8" w:rsidRDefault="00BA7BE8" w:rsidP="00BA7BE8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sectPr w:rsidR="00BA7BE8" w:rsidRPr="00BA7BE8" w:rsidSect="00FF7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EE"/>
    <w:rsid w:val="00063040"/>
    <w:rsid w:val="000E33D3"/>
    <w:rsid w:val="002B5DEE"/>
    <w:rsid w:val="003764F5"/>
    <w:rsid w:val="003F238D"/>
    <w:rsid w:val="00432EAC"/>
    <w:rsid w:val="0048695E"/>
    <w:rsid w:val="00825C95"/>
    <w:rsid w:val="008E65F0"/>
    <w:rsid w:val="009A14AB"/>
    <w:rsid w:val="00BA7BE8"/>
    <w:rsid w:val="00BC02B9"/>
    <w:rsid w:val="00C31B9A"/>
    <w:rsid w:val="00CD6678"/>
    <w:rsid w:val="00E13369"/>
    <w:rsid w:val="00EF3E8C"/>
    <w:rsid w:val="00F05844"/>
    <w:rsid w:val="00F17680"/>
    <w:rsid w:val="00F64809"/>
    <w:rsid w:val="00F73878"/>
    <w:rsid w:val="00FD6109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06D4D-0D06-483C-B42F-91269CC7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3C1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7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771367C-AA28-46D9-894F-4779D942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2</cp:revision>
  <dcterms:created xsi:type="dcterms:W3CDTF">2025-02-24T10:38:00Z</dcterms:created>
  <dcterms:modified xsi:type="dcterms:W3CDTF">2025-02-24T10:38:00Z</dcterms:modified>
</cp:coreProperties>
</file>